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D2F4" w14:textId="77777777" w:rsidR="00563986" w:rsidRDefault="00563986">
      <w:pPr>
        <w:spacing w:before="1600"/>
      </w:pPr>
    </w:p>
    <w:p w14:paraId="33F9AD97" w14:textId="2FC6FA90" w:rsidR="00563986" w:rsidRDefault="00EC6BEE">
      <w:pPr>
        <w:spacing w:after="80"/>
        <w:jc w:val="center"/>
      </w:pPr>
      <w:r>
        <w:rPr>
          <w:b/>
          <w:bCs/>
          <w:caps/>
          <w:color w:val="595959"/>
          <w:sz w:val="22"/>
          <w:szCs w:val="22"/>
        </w:rPr>
        <w:t>Best Practice symposium for social and community development</w:t>
      </w:r>
    </w:p>
    <w:p w14:paraId="0C853BC2" w14:textId="77777777" w:rsidR="00563986" w:rsidRDefault="00EC6BEE">
      <w:pPr>
        <w:pBdr>
          <w:bottom w:val="single" w:sz="12" w:space="8" w:color="B8860B"/>
        </w:pBdr>
        <w:spacing w:after="400"/>
        <w:jc w:val="center"/>
      </w:pPr>
      <w:r>
        <w:rPr>
          <w:color w:val="595959"/>
        </w:rPr>
        <w:t>Inter-Ministerial PR Communications Brief</w:t>
      </w:r>
    </w:p>
    <w:p w14:paraId="6E523EA7" w14:textId="77777777" w:rsidR="00563986" w:rsidRDefault="00EC6BEE">
      <w:pPr>
        <w:spacing w:before="800" w:after="200"/>
        <w:jc w:val="center"/>
      </w:pPr>
      <w:r>
        <w:rPr>
          <w:b/>
          <w:bCs/>
          <w:color w:val="1F3864"/>
          <w:sz w:val="48"/>
          <w:szCs w:val="48"/>
        </w:rPr>
        <w:t>Family Structures in Jamaica</w:t>
      </w:r>
    </w:p>
    <w:p w14:paraId="643A8590" w14:textId="58157311" w:rsidR="00563986" w:rsidRDefault="00EC6BEE">
      <w:pPr>
        <w:spacing w:after="600"/>
        <w:jc w:val="center"/>
      </w:pPr>
      <w:r>
        <w:rPr>
          <w:b/>
          <w:bCs/>
          <w:color w:val="1F3864"/>
          <w:sz w:val="34"/>
          <w:szCs w:val="34"/>
        </w:rPr>
        <w:t>and government support for parenting</w:t>
      </w:r>
    </w:p>
    <w:p w14:paraId="3422D555" w14:textId="52CF76DF" w:rsidR="00563986" w:rsidRDefault="00EC6BEE">
      <w:pPr>
        <w:spacing w:after="1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Prepared for briefing of Ministry PR Directors </w:t>
      </w:r>
    </w:p>
    <w:p w14:paraId="49380E91" w14:textId="4B58CC1D" w:rsidR="00EC6BEE" w:rsidRDefault="00EC6BEE">
      <w:pPr>
        <w:spacing w:after="100"/>
        <w:jc w:val="center"/>
      </w:pPr>
      <w:r>
        <w:rPr>
          <w:sz w:val="24"/>
          <w:szCs w:val="24"/>
        </w:rPr>
        <w:t>Eleventh Best Practice Symposium for Social and Community Development</w:t>
      </w:r>
    </w:p>
    <w:p w14:paraId="375EE68F" w14:textId="77777777" w:rsidR="00563986" w:rsidRDefault="00EC6BEE">
      <w:pPr>
        <w:spacing w:after="900"/>
        <w:jc w:val="center"/>
      </w:pPr>
      <w:r>
        <w:rPr>
          <w:i/>
          <w:iCs/>
          <w:color w:val="595959"/>
        </w:rPr>
        <w:t>Source: Jamaica Survey of Living Conditions (JSLC) 2023</w:t>
      </w:r>
    </w:p>
    <w:p w14:paraId="4EBFDD21" w14:textId="77777777" w:rsidR="00563986" w:rsidRDefault="00EC6BEE">
      <w:pPr>
        <w:spacing w:before="2400"/>
        <w:jc w:val="center"/>
      </w:pPr>
      <w:r>
        <w:rPr>
          <w:color w:val="595959"/>
          <w:sz w:val="20"/>
          <w:szCs w:val="20"/>
        </w:rPr>
        <w:t>September 2026</w:t>
      </w:r>
    </w:p>
    <w:p w14:paraId="31932B62" w14:textId="77777777" w:rsidR="00563986" w:rsidRDefault="00563986">
      <w:pPr>
        <w:sectPr w:rsidR="005639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75F413C2" w14:textId="77777777" w:rsidR="00563986" w:rsidRDefault="00EC6BEE">
      <w:pPr>
        <w:pStyle w:val="Heading1"/>
        <w:pBdr>
          <w:bottom w:val="single" w:sz="6" w:space="4" w:color="1F3864"/>
        </w:pBdr>
        <w:spacing w:before="360" w:after="160"/>
      </w:pPr>
      <w:r>
        <w:rPr>
          <w:b/>
          <w:bCs/>
          <w:color w:val="1F3864"/>
          <w:sz w:val="26"/>
          <w:szCs w:val="26"/>
        </w:rPr>
        <w:lastRenderedPageBreak/>
        <w:t>Purpose</w:t>
      </w:r>
    </w:p>
    <w:p w14:paraId="2FA6EC6B" w14:textId="061CB5A0" w:rsidR="00563986" w:rsidRDefault="00EC6BEE">
      <w:pPr>
        <w:spacing w:after="140" w:line="288" w:lineRule="auto"/>
      </w:pPr>
      <w:r>
        <w:t>This brief guides Ministry PR Directors in compiling a list of policies and programmes that support good parenting across Jamaica. It summarises key findings from the JSLC 2023 on family structure, parental challenges, and government's current support framework.</w:t>
      </w:r>
    </w:p>
    <w:p w14:paraId="31C890ED" w14:textId="77777777" w:rsidR="00563986" w:rsidRDefault="00EC6BEE">
      <w:pPr>
        <w:pStyle w:val="Heading1"/>
        <w:pBdr>
          <w:bottom w:val="single" w:sz="6" w:space="4" w:color="1F3864"/>
        </w:pBdr>
        <w:spacing w:before="360" w:after="160"/>
      </w:pPr>
      <w:r>
        <w:rPr>
          <w:b/>
          <w:bCs/>
          <w:color w:val="1F3864"/>
          <w:sz w:val="26"/>
          <w:szCs w:val="26"/>
        </w:rPr>
        <w:t>Household Structure and Parental Roles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4350"/>
      </w:tblGrid>
      <w:tr w:rsidR="00563986" w14:paraId="7B212F42" w14:textId="77777777">
        <w:trPr>
          <w:tblHeader/>
        </w:trPr>
        <w:tc>
          <w:tcPr>
            <w:tcW w:w="3000" w:type="dxa"/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6C9595" w14:textId="77777777" w:rsidR="00563986" w:rsidRDefault="00EC6BEE">
            <w:r>
              <w:rPr>
                <w:b/>
                <w:bCs/>
                <w:color w:val="FFFFFF"/>
                <w:sz w:val="19"/>
                <w:szCs w:val="19"/>
              </w:rPr>
              <w:t>Household Type</w:t>
            </w:r>
          </w:p>
        </w:tc>
        <w:tc>
          <w:tcPr>
            <w:tcW w:w="2000" w:type="dxa"/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36BE4" w14:textId="77777777" w:rsidR="00563986" w:rsidRDefault="00EC6BEE">
            <w:r>
              <w:rPr>
                <w:b/>
                <w:bCs/>
                <w:color w:val="FFFFFF"/>
                <w:sz w:val="19"/>
                <w:szCs w:val="19"/>
              </w:rPr>
              <w:t>With Children</w:t>
            </w:r>
          </w:p>
        </w:tc>
        <w:tc>
          <w:tcPr>
            <w:tcW w:w="4350" w:type="dxa"/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3EDFED" w14:textId="77777777" w:rsidR="00563986" w:rsidRDefault="00EC6BEE">
            <w:r>
              <w:rPr>
                <w:b/>
                <w:bCs/>
                <w:color w:val="FFFFFF"/>
                <w:sz w:val="19"/>
                <w:szCs w:val="19"/>
              </w:rPr>
              <w:t>Detail</w:t>
            </w:r>
          </w:p>
        </w:tc>
      </w:tr>
      <w:tr w:rsidR="00563986" w14:paraId="6E4DA6E1" w14:textId="77777777"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EDE9A" w14:textId="77777777" w:rsidR="00563986" w:rsidRDefault="00EC6BEE">
            <w:r>
              <w:rPr>
                <w:sz w:val="19"/>
                <w:szCs w:val="19"/>
              </w:rPr>
              <w:t>Female-headed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E9BE1" w14:textId="77777777" w:rsidR="00563986" w:rsidRDefault="00EC6BEE">
            <w:r>
              <w:rPr>
                <w:sz w:val="19"/>
                <w:szCs w:val="19"/>
              </w:rPr>
              <w:t>41.9%</w:t>
            </w:r>
          </w:p>
        </w:tc>
        <w:tc>
          <w:tcPr>
            <w:tcW w:w="43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EC9B9" w14:textId="77777777" w:rsidR="00563986" w:rsidRDefault="00EC6BEE">
            <w:r>
              <w:rPr>
                <w:sz w:val="19"/>
                <w:szCs w:val="19"/>
              </w:rPr>
              <w:t>36.7% without a spouse; 5.2% with a spouse</w:t>
            </w:r>
          </w:p>
        </w:tc>
      </w:tr>
      <w:tr w:rsidR="00563986" w14:paraId="1F5391A7" w14:textId="77777777">
        <w:tc>
          <w:tcPr>
            <w:tcW w:w="3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7FC80" w14:textId="77777777" w:rsidR="00563986" w:rsidRDefault="00EC6BEE">
            <w:r>
              <w:rPr>
                <w:sz w:val="19"/>
                <w:szCs w:val="19"/>
              </w:rPr>
              <w:t>Male-headed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6E9098" w14:textId="77777777" w:rsidR="00563986" w:rsidRDefault="00EC6BEE">
            <w:r>
              <w:rPr>
                <w:sz w:val="19"/>
                <w:szCs w:val="19"/>
              </w:rPr>
              <w:t>20.8%</w:t>
            </w:r>
          </w:p>
        </w:tc>
        <w:tc>
          <w:tcPr>
            <w:tcW w:w="435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DE5BE" w14:textId="77777777" w:rsidR="00563986" w:rsidRDefault="00EC6BEE">
            <w:r>
              <w:rPr>
                <w:sz w:val="19"/>
                <w:szCs w:val="19"/>
              </w:rPr>
              <w:t>18.2% with a spouse; 2.6% without a spouse</w:t>
            </w:r>
          </w:p>
        </w:tc>
      </w:tr>
    </w:tbl>
    <w:p w14:paraId="64076F3C" w14:textId="77777777" w:rsidR="00563986" w:rsidRDefault="00563986">
      <w:pPr>
        <w:spacing w:before="180" w:after="100"/>
      </w:pPr>
    </w:p>
    <w:p w14:paraId="0C433A26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Female-headed households are more likely to include children and less likely to include an adult male.</w:t>
      </w:r>
    </w:p>
    <w:p w14:paraId="0A1A861F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Male-headed households are more likely to have a spouse present and less likely to have children.</w:t>
      </w:r>
    </w:p>
    <w:p w14:paraId="3697FD39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Household Size and Children</w:t>
      </w:r>
    </w:p>
    <w:p w14:paraId="5D5FC4D6" w14:textId="77777777" w:rsidR="00EA4927" w:rsidRDefault="00EA4927" w:rsidP="00EA4927">
      <w:pPr>
        <w:pStyle w:val="NormalWeb"/>
      </w:pPr>
      <w:r>
        <w:rPr>
          <w:rStyle w:val="Emphasis"/>
        </w:rPr>
        <w:t>Note: "Mean" refers to the statistical average — the total number of persons (or children) across all households in a group, divided by the number of households in that group. Households are also grouped into "quintiles," which divide the population into five equal-sized groups ranked by income or consumption, from poorest (Quintile 1) to wealthiest (Quintile 5). The "poorest quintile" refers to the lowest-income fifth of the population.</w:t>
      </w:r>
    </w:p>
    <w:p w14:paraId="3E0F238E" w14:textId="77777777" w:rsidR="00EA4927" w:rsidRDefault="00EA4927" w:rsidP="00EA4927">
      <w:pPr>
        <w:numPr>
          <w:ilvl w:val="0"/>
          <w:numId w:val="2"/>
        </w:numPr>
        <w:spacing w:before="100" w:beforeAutospacing="1" w:after="100" w:afterAutospacing="1"/>
      </w:pPr>
      <w:r>
        <w:t>Average household size has declined, driven mainly by fewer children per household — a mean of 0.5 children per household in 2023, down from 0.8 in 2017.</w:t>
      </w:r>
    </w:p>
    <w:p w14:paraId="65D3C1F2" w14:textId="77777777" w:rsidR="00EA4927" w:rsidRDefault="00EA4927" w:rsidP="00EA4927">
      <w:pPr>
        <w:numPr>
          <w:ilvl w:val="0"/>
          <w:numId w:val="2"/>
        </w:numPr>
        <w:spacing w:before="100" w:beforeAutospacing="1" w:after="100" w:afterAutospacing="1"/>
      </w:pPr>
      <w:r>
        <w:t>Female-headed households have a larger mean household size (2.9 persons) and more children on average (0.7) than male-headed households (2.3 persons; 0.4 children).</w:t>
      </w:r>
    </w:p>
    <w:p w14:paraId="07C44612" w14:textId="77777777" w:rsidR="00EA4927" w:rsidRDefault="00EA4927" w:rsidP="00EA4927">
      <w:pPr>
        <w:numPr>
          <w:ilvl w:val="0"/>
          <w:numId w:val="2"/>
        </w:numPr>
        <w:spacing w:before="100" w:beforeAutospacing="1" w:after="100" w:afterAutospacing="1"/>
      </w:pPr>
      <w:r>
        <w:t>Households in the poorest quintile (Quintile 1 — the lowest-income fifth of the population) have the largest average household size (3.7 persons) and the most children on average (1.1) of any quintile, and are more likely to be female-headed.</w:t>
      </w:r>
    </w:p>
    <w:p w14:paraId="0FC0DC43" w14:textId="77777777" w:rsidR="00EA4927" w:rsidRDefault="00EA4927" w:rsidP="00EA4927">
      <w:pPr>
        <w:numPr>
          <w:ilvl w:val="0"/>
          <w:numId w:val="2"/>
        </w:numPr>
        <w:spacing w:before="100" w:beforeAutospacing="1" w:after="100" w:afterAutospacing="1"/>
      </w:pPr>
      <w:r>
        <w:t>In the poorest quintile, 50.0% of female-headed households had children present but no spouse.</w:t>
      </w:r>
    </w:p>
    <w:p w14:paraId="2CB8DA52" w14:textId="77777777" w:rsidR="00EA4927" w:rsidRDefault="00EA4927" w:rsidP="00EA4927">
      <w:pPr>
        <w:pStyle w:val="ListParagraph"/>
        <w:spacing w:after="90" w:line="276" w:lineRule="auto"/>
        <w:ind w:left="360"/>
      </w:pPr>
    </w:p>
    <w:p w14:paraId="10578097" w14:textId="77777777" w:rsidR="00563986" w:rsidRDefault="00EC6BEE">
      <w:pPr>
        <w:pStyle w:val="Heading1"/>
        <w:pBdr>
          <w:bottom w:val="single" w:sz="6" w:space="4" w:color="1F3864"/>
        </w:pBdr>
        <w:spacing w:before="360" w:after="160"/>
      </w:pPr>
      <w:r>
        <w:rPr>
          <w:b/>
          <w:bCs/>
          <w:color w:val="1F3864"/>
          <w:sz w:val="26"/>
          <w:szCs w:val="26"/>
        </w:rPr>
        <w:t>Education and Parental Involvement</w:t>
      </w:r>
    </w:p>
    <w:p w14:paraId="07ECD742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80.7%</w:t>
      </w:r>
      <w:r>
        <w:t xml:space="preserve"> of students attended school all 20 days in the reference period.</w:t>
      </w:r>
    </w:p>
    <w:p w14:paraId="240AB903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Main reasons for non-attendance: illness (49.5%), rain (18.9%), and money problems (14.8%).</w:t>
      </w:r>
    </w:p>
    <w:p w14:paraId="4A68627F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Financial challenges affecting school attendance are more pronounced in poorer households, often headed by single parents.</w:t>
      </w:r>
    </w:p>
    <w:p w14:paraId="21977F63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lastRenderedPageBreak/>
        <w:t>Participation in school feeding programmes is higher among students in the poorest quintiles, reflecting targeted support for vulnerable families.</w:t>
      </w:r>
    </w:p>
    <w:p w14:paraId="4BFEC1A5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Early childhood education enrolment is high (over </w:t>
      </w:r>
      <w:r>
        <w:rPr>
          <w:b/>
          <w:bCs/>
        </w:rPr>
        <w:t>93%</w:t>
      </w:r>
      <w:r>
        <w:t xml:space="preserve"> for children aged 36–59 months), indicating strong parental engagement, though the survey notes a slight decline in participation, suggesting potential access challenges for families.</w:t>
      </w:r>
    </w:p>
    <w:p w14:paraId="0757B821" w14:textId="77777777" w:rsidR="00563986" w:rsidRDefault="00EC6BEE">
      <w:pPr>
        <w:pStyle w:val="Heading1"/>
        <w:pBdr>
          <w:bottom w:val="single" w:sz="6" w:space="4" w:color="1F3864"/>
        </w:pBdr>
        <w:spacing w:before="360" w:after="160"/>
      </w:pPr>
      <w:r>
        <w:rPr>
          <w:b/>
          <w:bCs/>
          <w:color w:val="1F3864"/>
          <w:sz w:val="26"/>
          <w:szCs w:val="26"/>
        </w:rPr>
        <w:t>Community Violence and Family Wellbeing</w:t>
      </w:r>
    </w:p>
    <w:p w14:paraId="4B3F6DA7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An estimated </w:t>
      </w:r>
      <w:r>
        <w:rPr>
          <w:b/>
          <w:bCs/>
        </w:rPr>
        <w:t>4.1%</w:t>
      </w:r>
      <w:r>
        <w:t xml:space="preserve"> of individuals reported an episode of illness or injury (including violence-related) during the four-week reference period.</w:t>
      </w:r>
    </w:p>
    <w:p w14:paraId="5B5E8B30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61.8% of those affected sought health care; females were more likely to seek care (66.3%) than males (56.9%). Average duration of illness/injury was 8.2 days, with 4.4 days of impairment.</w:t>
      </w:r>
    </w:p>
    <w:p w14:paraId="550EA360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Illness/injury rates were broadly similar across regions (4.3% GKMA, 3.6% other urban centres, 4.3% rural), though the poorest quintile reported a lower incidence rate (3.3%) alongside a much higher rate of seeking care (92.1%).</w:t>
      </w:r>
    </w:p>
    <w:p w14:paraId="2D9E8C24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Community violence disproportionately affects vulnerable populations, including women, children, and poorer households, who face greater barriers to care and greater economic consequences.</w:t>
      </w:r>
    </w:p>
    <w:p w14:paraId="36731AFE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National homicide rates rose from 44.3 per 100,000 in 2015 to a peak of 60.5 in 2017, before declining to </w:t>
      </w:r>
      <w:r>
        <w:rPr>
          <w:b/>
          <w:bCs/>
        </w:rPr>
        <w:t>41.9 in 2024</w:t>
      </w:r>
      <w:r>
        <w:t>. Men are disproportionately affected (peak of 110.3 per 100,000, declining to 78.8 in 2024) compared to women (5.9 per 100,000 in 2024).</w:t>
      </w:r>
    </w:p>
    <w:p w14:paraId="78DF5AE9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Firearms remain the primary weapon used in homicides, averaging 41.6 per 100,000 population annually from 2015–2024.</w:t>
      </w:r>
    </w:p>
    <w:p w14:paraId="2BAF9847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Most homicides are committed by individuals other than intimate partners or family members, underscoring that this is largely community-based rather than domestic violence.</w:t>
      </w:r>
    </w:p>
    <w:p w14:paraId="0A71AA8C" w14:textId="77777777" w:rsidR="00563986" w:rsidRDefault="00563986">
      <w:pPr>
        <w:spacing w:before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0"/>
      </w:tblGrid>
      <w:tr w:rsidR="00563986" w14:paraId="44B3F9C1" w14:textId="77777777">
        <w:tc>
          <w:tcPr>
            <w:tcW w:w="9350" w:type="dxa"/>
            <w:tcBorders>
              <w:top w:val="single" w:sz="4" w:space="0" w:color="1F3864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5A86CAA" w14:textId="77777777" w:rsidR="00563986" w:rsidRDefault="00EC6BEE">
            <w:pPr>
              <w:spacing w:after="60"/>
            </w:pPr>
            <w:r>
              <w:rPr>
                <w:b/>
                <w:bCs/>
                <w:caps/>
                <w:color w:val="1F3864"/>
                <w:sz w:val="19"/>
                <w:szCs w:val="19"/>
              </w:rPr>
              <w:t>Summary</w:t>
            </w:r>
          </w:p>
          <w:p w14:paraId="695D8B40" w14:textId="77777777" w:rsidR="00563986" w:rsidRDefault="00EC6BEE">
            <w:pPr>
              <w:spacing w:line="276" w:lineRule="auto"/>
            </w:pPr>
            <w:r>
              <w:rPr>
                <w:sz w:val="20"/>
                <w:szCs w:val="20"/>
              </w:rPr>
              <w:t>Female-headed households with children are the most vulnerable, requiring targeted support through social protection, education, and health programmes. The findings also highlight the Government's integrated approach — linking poverty reduction, education access, health care, and violence prevention — to strengthen family structures and parenting across Jamaica.</w:t>
            </w:r>
          </w:p>
        </w:tc>
      </w:tr>
    </w:tbl>
    <w:p w14:paraId="47814358" w14:textId="77777777" w:rsidR="00563986" w:rsidRDefault="00EC6BEE">
      <w:r>
        <w:br w:type="page"/>
      </w:r>
    </w:p>
    <w:p w14:paraId="450165D4" w14:textId="7CC4753D" w:rsidR="00563986" w:rsidRDefault="00EC6BEE">
      <w:pPr>
        <w:pStyle w:val="Heading1"/>
        <w:pBdr>
          <w:bottom w:val="single" w:sz="6" w:space="4" w:color="1F3864"/>
        </w:pBdr>
        <w:spacing w:before="360" w:after="160"/>
      </w:pPr>
      <w:r>
        <w:rPr>
          <w:b/>
          <w:bCs/>
          <w:color w:val="1F3864"/>
          <w:sz w:val="26"/>
          <w:szCs w:val="26"/>
        </w:rPr>
        <w:lastRenderedPageBreak/>
        <w:t xml:space="preserve">Major Policies, Programmes and Legislation Supporting </w:t>
      </w:r>
      <w:r w:rsidR="008B5C61">
        <w:rPr>
          <w:b/>
          <w:bCs/>
          <w:color w:val="1F3864"/>
          <w:sz w:val="26"/>
          <w:szCs w:val="26"/>
        </w:rPr>
        <w:t>Parenting</w:t>
      </w:r>
    </w:p>
    <w:p w14:paraId="61AC4E34" w14:textId="77777777" w:rsidR="00563986" w:rsidRDefault="00EC6BEE">
      <w:pPr>
        <w:spacing w:before="60" w:after="200"/>
      </w:pPr>
      <w:r>
        <w:rPr>
          <w:i/>
          <w:iCs/>
          <w:color w:val="595959"/>
          <w:sz w:val="19"/>
          <w:szCs w:val="19"/>
        </w:rPr>
        <w:t>For use in compiling Ministry-specific communications on parenting support.</w:t>
      </w:r>
    </w:p>
    <w:p w14:paraId="2A411914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Social Protection and Poverty Reduction</w:t>
      </w:r>
    </w:p>
    <w:p w14:paraId="1E6BD53B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Programme of Advancement Through Health and Education (PATH):</w:t>
      </w:r>
      <w:r>
        <w:t xml:space="preserve"> Conditional cash transfer targeting families with children, elderly, and vulnerable groups. 27.9% of households applied; 59.2% received benefits, highest among poorest and female-headed households.</w:t>
      </w:r>
    </w:p>
    <w:p w14:paraId="29DFFE6B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National Poverty Reduction Programme &amp; Jamaica Social Protection Strategy:</w:t>
      </w:r>
      <w:r>
        <w:t xml:space="preserve"> Address basic needs, economic empowerment, and human capital development.</w:t>
      </w:r>
    </w:p>
    <w:p w14:paraId="11301B60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Early childhood enrolment:</w:t>
      </w:r>
      <w:r>
        <w:t xml:space="preserve"> over 93% for children aged 36–59 months.</w:t>
      </w:r>
    </w:p>
    <w:p w14:paraId="7D96F6CE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Household Well-being and Infrastructure</w:t>
      </w:r>
    </w:p>
    <w:p w14:paraId="2387413C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Access to clean water, sanitation, and electricity measured to assess family living conditions.</w:t>
      </w:r>
    </w:p>
    <w:p w14:paraId="6EF3E578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Programmes aim to strengthen resilience against economic shocks and natural disasters.</w:t>
      </w:r>
    </w:p>
    <w:p w14:paraId="1DB7320B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Community Violence Reduction</w:t>
      </w:r>
    </w:p>
    <w:p w14:paraId="180796CE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Government collaborates with communities to reduce violence and insecurity.</w:t>
      </w:r>
    </w:p>
    <w:p w14:paraId="76312943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Firearm seizures and homicide monitoring reflect ongoing national security efforts.</w:t>
      </w:r>
    </w:p>
    <w:p w14:paraId="33D5AB47" w14:textId="31D40EB2" w:rsidR="00E02BEB" w:rsidRDefault="00E02BEB">
      <w:pPr>
        <w:pStyle w:val="ListParagraph"/>
        <w:numPr>
          <w:ilvl w:val="0"/>
          <w:numId w:val="2"/>
        </w:numPr>
        <w:spacing w:after="90" w:line="276" w:lineRule="auto"/>
      </w:pPr>
      <w:r>
        <w:t xml:space="preserve">Safe recreational spaces </w:t>
      </w:r>
    </w:p>
    <w:p w14:paraId="73019764" w14:textId="0074960E" w:rsidR="00E02BEB" w:rsidRDefault="00E02BEB">
      <w:pPr>
        <w:pStyle w:val="ListParagraph"/>
        <w:numPr>
          <w:ilvl w:val="0"/>
          <w:numId w:val="2"/>
        </w:numPr>
        <w:spacing w:after="90" w:line="276" w:lineRule="auto"/>
      </w:pPr>
      <w:r>
        <w:t>Accessible legal aid and restorative justice pathways</w:t>
      </w:r>
    </w:p>
    <w:p w14:paraId="7C59CDBB" w14:textId="1CCE2045" w:rsidR="00E02BEB" w:rsidRDefault="00E02BEB">
      <w:pPr>
        <w:pStyle w:val="ListParagraph"/>
        <w:numPr>
          <w:ilvl w:val="0"/>
          <w:numId w:val="2"/>
        </w:numPr>
        <w:spacing w:after="90" w:line="276" w:lineRule="auto"/>
      </w:pPr>
      <w:r>
        <w:t>Democratic and resilient community governance structures</w:t>
      </w:r>
    </w:p>
    <w:p w14:paraId="5708D3AB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Education Support</w:t>
      </w:r>
    </w:p>
    <w:p w14:paraId="08AD295B" w14:textId="6216D9F6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Tuition-free or supported education</w:t>
      </w:r>
      <w:r>
        <w:t>: Increases access to education and employment for individuals from poor households, directly benefiting families.</w:t>
      </w:r>
    </w:p>
    <w:p w14:paraId="7618408D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rPr>
          <w:b/>
          <w:bCs/>
        </w:rPr>
        <w:t>School Feeding Programmes and Textbook Programmes:</w:t>
      </w:r>
      <w:r>
        <w:t xml:space="preserve"> Provide meals and textbooks to support children, particularly from low-income households, reducing the financial burden on parents, especially single mothers and low-income families. Participation is highest among students in the poorest quintiles.</w:t>
      </w:r>
    </w:p>
    <w:p w14:paraId="1B715FC7" w14:textId="77777777" w:rsidR="00563986" w:rsidRDefault="00EC6BEE">
      <w:pPr>
        <w:pStyle w:val="Heading2"/>
        <w:spacing w:before="260" w:after="120"/>
      </w:pPr>
      <w:r>
        <w:rPr>
          <w:b/>
          <w:bCs/>
          <w:color w:val="1F3864"/>
          <w:sz w:val="22"/>
          <w:szCs w:val="22"/>
        </w:rPr>
        <w:t>Child and Maternal Health</w:t>
      </w:r>
    </w:p>
    <w:p w14:paraId="67742730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Government tracking and support systems address child stunting and malnutrition among children under five, reflecting attention to family nutrition and parental care.</w:t>
      </w:r>
    </w:p>
    <w:p w14:paraId="020FD02A" w14:textId="77777777" w:rsidR="00563986" w:rsidRDefault="00EC6BEE">
      <w:pPr>
        <w:pStyle w:val="ListParagraph"/>
        <w:numPr>
          <w:ilvl w:val="0"/>
          <w:numId w:val="2"/>
        </w:numPr>
        <w:spacing w:after="90" w:line="276" w:lineRule="auto"/>
      </w:pPr>
      <w:r>
        <w:t>High early childhood education enrolment reflects government-supported organised learning access before primary school.</w:t>
      </w:r>
    </w:p>
    <w:p w14:paraId="3AFF5A43" w14:textId="0715443C" w:rsidR="00506FF9" w:rsidRPr="00EC6BEE" w:rsidRDefault="00C53315" w:rsidP="0049261F">
      <w:pPr>
        <w:pStyle w:val="ListBullet1"/>
        <w:keepNext/>
        <w:pBdr>
          <w:bottom w:val="single" w:sz="6" w:space="4" w:color="002060"/>
        </w:pBdr>
        <w:tabs>
          <w:tab w:val="num" w:pos="360"/>
        </w:tabs>
        <w:spacing w:before="360" w:after="160"/>
        <w:ind w:left="360"/>
      </w:pPr>
      <w:r>
        <w:br w:type="page"/>
      </w:r>
      <w:r w:rsidR="00956224" w:rsidRPr="00EC6BEE">
        <w:rPr>
          <w:b/>
          <w:color w:val="002060"/>
          <w:sz w:val="28"/>
        </w:rPr>
        <w:lastRenderedPageBreak/>
        <w:t xml:space="preserve">Suggested </w:t>
      </w:r>
      <w:r w:rsidR="008B5C61" w:rsidRPr="00EC6BEE">
        <w:rPr>
          <w:b/>
          <w:color w:val="002060"/>
          <w:sz w:val="28"/>
        </w:rPr>
        <w:t>Core Public Services Supporting Parenting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506FF9" w:rsidRPr="00506FF9" w14:paraId="637A2C02" w14:textId="77777777" w:rsidTr="00C25473">
        <w:trPr>
          <w:jc w:val="center"/>
        </w:trPr>
        <w:tc>
          <w:tcPr>
            <w:tcW w:w="3600" w:type="dxa"/>
            <w:shd w:val="clear" w:color="auto" w:fill="002060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1368BFC" w14:textId="77777777" w:rsidR="00506FF9" w:rsidRPr="00506FF9" w:rsidRDefault="00506FF9" w:rsidP="00506FF9">
            <w:pPr>
              <w:spacing w:after="12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FFFFFF"/>
                <w:sz w:val="22"/>
                <w:szCs w:val="22"/>
                <w:lang w:val="en-US" w:eastAsia="en-US"/>
              </w:rPr>
              <w:t>Parent Ministry</w:t>
            </w:r>
          </w:p>
        </w:tc>
        <w:tc>
          <w:tcPr>
            <w:tcW w:w="5760" w:type="dxa"/>
            <w:shd w:val="clear" w:color="auto" w:fill="002060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4A545F8" w14:textId="36965D24" w:rsidR="00506FF9" w:rsidRPr="00506FF9" w:rsidRDefault="00506FF9" w:rsidP="00506FF9">
            <w:pPr>
              <w:spacing w:after="12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FFFFFF"/>
                <w:sz w:val="22"/>
                <w:szCs w:val="22"/>
                <w:lang w:val="en-US" w:eastAsia="en-US"/>
              </w:rPr>
              <w:t>Core Public Service</w:t>
            </w:r>
            <w:r w:rsidR="008B5C61">
              <w:rPr>
                <w:rFonts w:eastAsia="MS Mincho" w:cs="Times New Roman"/>
                <w:b/>
                <w:color w:val="FFFFFF"/>
                <w:sz w:val="22"/>
                <w:szCs w:val="22"/>
                <w:lang w:val="en-US" w:eastAsia="en-US"/>
              </w:rPr>
              <w:t>s</w:t>
            </w:r>
          </w:p>
        </w:tc>
      </w:tr>
      <w:tr w:rsidR="00506FF9" w:rsidRPr="00506FF9" w14:paraId="14B7DAB9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F73EA9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Office of the Prime Minister / Cabinet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2BD5DB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New Social Housing Programme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</w:r>
          </w:p>
        </w:tc>
      </w:tr>
      <w:tr w:rsidR="00506FF9" w:rsidRPr="00506FF9" w14:paraId="7CE3734E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4EAC78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Economic Growth &amp; Infrastructure Development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3B5974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Housing assistance, urban renewal, and housing development programmes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 xml:space="preserve">• Public beach licensing and management (70 sites </w:t>
            </w:r>
            <w:proofErr w:type="spellStart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islandwide</w:t>
            </w:r>
            <w:proofErr w:type="spellEnd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)</w:t>
            </w:r>
          </w:p>
        </w:tc>
      </w:tr>
      <w:tr w:rsidR="00506FF9" w:rsidRPr="00506FF9" w14:paraId="38BDD7F3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CB7212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National Security and Peace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E3E465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Liv Good national citizen security and </w:t>
            </w:r>
            <w:proofErr w:type="spellStart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behaviour</w:t>
            </w:r>
            <w:proofErr w:type="spellEnd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-change initiative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JCF Community Safety and Citizen Security branches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Department of Correctional Services (Community Corrections, probation, juvenile rehabilitation)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Jamaica Combined Cadet Force (JCCF)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Firearm Licensing Authority (FLA) safety frameworks</w:t>
            </w:r>
          </w:p>
        </w:tc>
      </w:tr>
      <w:tr w:rsidR="00506FF9" w:rsidRPr="00506FF9" w14:paraId="43679255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25646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Agriculture, Fisheries and Mining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84A2D4" w14:textId="770F6306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RADA School Gardens </w:t>
            </w:r>
            <w:proofErr w:type="spellStart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programme</w:t>
            </w:r>
            <w:proofErr w:type="spellEnd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Jamaica 4-H Clubs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 xml:space="preserve">• Parks and Public Gardens management (3 botanical gardens; lessor of </w:t>
            </w:r>
            <w:r w:rsid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Royal 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Botanical Gardens</w:t>
            </w:r>
            <w:r w:rsid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 at Hope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Recreational boating safety</w:t>
            </w:r>
          </w:p>
        </w:tc>
      </w:tr>
      <w:tr w:rsidR="00506FF9" w:rsidRPr="00506FF9" w14:paraId="27EEFFD2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658F42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Culture, Gender, Entertainment and Sport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B31F7D" w14:textId="2963ECC4" w:rsidR="00956224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JCDC cultural development programmes</w:t>
            </w:r>
            <w:r w:rsid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 for cultural transfer</w:t>
            </w:r>
          </w:p>
          <w:p w14:paraId="0E35C2A7" w14:textId="2526F11B" w:rsid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Sports Development Foundation (SDF) fixtures and venues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State-supported Women's Shelters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Women's Centre of Jamaica Foundation (WCJF)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 xml:space="preserve">• </w:t>
            </w:r>
            <w:r w:rsid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Cinematograph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 Authority</w:t>
            </w:r>
          </w:p>
          <w:p w14:paraId="17AAF699" w14:textId="193E8859" w:rsidR="00956224" w:rsidRDefault="00956224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National Library of Jamaica and </w:t>
            </w:r>
            <w:proofErr w:type="gramStart"/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National museum</w:t>
            </w:r>
            <w:proofErr w:type="gramEnd"/>
          </w:p>
          <w:p w14:paraId="3F7934E5" w14:textId="6BBAD889" w:rsidR="00506FF9" w:rsidRPr="00506FF9" w:rsidRDefault="00956224" w:rsidP="00956224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 w:rsidR="00506FF9"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Support for national sports federations and educational institutional sporting activities</w:t>
            </w:r>
          </w:p>
        </w:tc>
      </w:tr>
      <w:tr w:rsidR="00506FF9" w:rsidRPr="00506FF9" w14:paraId="07AB2D99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D8F1D6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Education, Skills, Youth and Information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24A5A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Institutional education services, Youth Information </w:t>
            </w:r>
            <w:proofErr w:type="spellStart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Centres</w:t>
            </w:r>
            <w:proofErr w:type="spellEnd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, and advisory boards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Public information platforms (Libraries, PBCJ, CPTC, JIS, Access to Information)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National Parenting Support Commission (NPSC)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Child Protection and Family Services Agency (CPFSA)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Public scholarships and educational grants</w:t>
            </w:r>
          </w:p>
        </w:tc>
      </w:tr>
      <w:tr w:rsidR="00506FF9" w:rsidRPr="00506FF9" w14:paraId="6415A0AC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010453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Energy, Transport and Telecommunications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0FB167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Public transport licensing and dedicated school bus services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Community and school-based ICT digital access points</w:t>
            </w:r>
          </w:p>
        </w:tc>
      </w:tr>
      <w:tr w:rsidR="00506FF9" w:rsidRPr="00506FF9" w14:paraId="62D24712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1C1AC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lastRenderedPageBreak/>
              <w:t>Finance and the Public Service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2FBF80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Dedicated scholarships for children of public sector employees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Student Loans Bureau (SLB)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PIOJ National Poverty Reduction Programme coordination</w:t>
            </w:r>
          </w:p>
        </w:tc>
      </w:tr>
      <w:tr w:rsidR="00506FF9" w:rsidRPr="00506FF9" w14:paraId="7892AA28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FD78DF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Foreign Affairs and Foreign Trade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12DC1B" w14:textId="6A27DAD4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Consular support services 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Strategic Diaspora engagement programmes</w:t>
            </w:r>
          </w:p>
        </w:tc>
      </w:tr>
      <w:tr w:rsidR="00506FF9" w:rsidRPr="00506FF9" w14:paraId="2E90C8DB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96C322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Health and Wellness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C8B9E9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Institutional healthcare delivery and parent-in-hospital facilitation policies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 xml:space="preserve">• Jamaica Moves healthy lifestyle </w:t>
            </w:r>
            <w:proofErr w:type="spellStart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behaviour</w:t>
            </w:r>
            <w:proofErr w:type="spellEnd"/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-change programming</w:t>
            </w:r>
          </w:p>
        </w:tc>
      </w:tr>
      <w:tr w:rsidR="00506FF9" w:rsidRPr="00506FF9" w14:paraId="16A7A76E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764FA8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Industry, Investment and Commerce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DA8831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MSME business development services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Consumer protection rights and services</w:t>
            </w:r>
          </w:p>
        </w:tc>
      </w:tr>
      <w:tr w:rsidR="00506FF9" w:rsidRPr="00506FF9" w14:paraId="56C76B00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EE288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Justice and Constitutional Affairs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9E0021" w14:textId="77777777" w:rsid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Restorative Justice community programmes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Legal Aid clinics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Juvenile Diversion Programme</w:t>
            </w:r>
          </w:p>
          <w:p w14:paraId="73D53E64" w14:textId="334DE72E" w:rsidR="00956224" w:rsidRPr="00956224" w:rsidRDefault="00956224" w:rsidP="00956224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956224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Victim Support Programmes</w:t>
            </w:r>
          </w:p>
        </w:tc>
      </w:tr>
      <w:tr w:rsidR="00506FF9" w:rsidRPr="00506FF9" w14:paraId="3ED1127B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60D5C3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Labour and Social Security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F56FDC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Programme of Advancement Through Health and Education (PATH)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Farm Worker Programme (including structured family visit provisions)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National Insurance Scheme (NIS)</w:t>
            </w:r>
          </w:p>
        </w:tc>
      </w:tr>
      <w:tr w:rsidR="00506FF9" w:rsidRPr="00506FF9" w14:paraId="40F7DA02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BEBE10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Local Government &amp; Community Development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BB076D" w14:textId="77777777" w:rsid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Municipal poor relief services and parish infirmary support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Local Social Development Commission (SDC) initiatives</w:t>
            </w:r>
          </w:p>
          <w:p w14:paraId="46FB873F" w14:textId="77777777" w:rsidR="00956224" w:rsidRDefault="00956224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Municipal licensing of events and venues </w:t>
            </w:r>
          </w:p>
          <w:p w14:paraId="318E73A9" w14:textId="7D9F66B5" w:rsidR="0034025D" w:rsidRPr="00506FF9" w:rsidRDefault="0034025D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Municipal community </w:t>
            </w:r>
            <w:proofErr w:type="spellStart"/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centres</w:t>
            </w:r>
            <w:proofErr w:type="spellEnd"/>
          </w:p>
        </w:tc>
      </w:tr>
      <w:tr w:rsidR="00506FF9" w:rsidRPr="00506FF9" w14:paraId="6CF239E0" w14:textId="77777777" w:rsidTr="00C25473">
        <w:trPr>
          <w:jc w:val="center"/>
        </w:trPr>
        <w:tc>
          <w:tcPr>
            <w:tcW w:w="360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7360BB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Tourism</w:t>
            </w:r>
          </w:p>
        </w:tc>
        <w:tc>
          <w:tcPr>
            <w:tcW w:w="576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5E0FAC" w14:textId="77777777" w:rsidR="00956224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Community tourism and artisan development programmes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Tourism Worker Insurance frameworks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Milk River and Bath Fountain mineral spas</w:t>
            </w:r>
          </w:p>
          <w:p w14:paraId="0852D641" w14:textId="0CB7A3F2" w:rsidR="00956224" w:rsidRPr="00956224" w:rsidRDefault="00956224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Devon House</w:t>
            </w:r>
          </w:p>
        </w:tc>
      </w:tr>
      <w:tr w:rsidR="00506FF9" w:rsidRPr="00506FF9" w14:paraId="6A99FBFD" w14:textId="77777777" w:rsidTr="00C25473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A34468" w14:textId="77777777" w:rsidR="00506FF9" w:rsidRP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b/>
                <w:color w:val="333333"/>
                <w:sz w:val="20"/>
                <w:szCs w:val="22"/>
                <w:lang w:val="en-US" w:eastAsia="en-US"/>
              </w:rPr>
              <w:t>Water, Environment &amp; Climate Change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739186" w14:textId="77777777" w:rsidR="00506FF9" w:rsidRDefault="00506FF9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• National water supply grid services</w:t>
            </w: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br/>
              <w:t>• Public access to natural recreational forests and protected marine parks</w:t>
            </w:r>
          </w:p>
          <w:p w14:paraId="49841156" w14:textId="59DE4018" w:rsidR="0034025D" w:rsidRPr="00506FF9" w:rsidRDefault="0034025D" w:rsidP="00506FF9">
            <w:pPr>
              <w:spacing w:after="80" w:line="276" w:lineRule="auto"/>
              <w:rPr>
                <w:rFonts w:eastAsia="MS Mincho" w:cs="Times New Roman"/>
                <w:color w:val="333333"/>
                <w:sz w:val="22"/>
                <w:szCs w:val="22"/>
                <w:lang w:val="en-US" w:eastAsia="en-US"/>
              </w:rPr>
            </w:pPr>
            <w:r w:rsidRPr="00506FF9"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 xml:space="preserve">• </w:t>
            </w:r>
            <w:r>
              <w:rPr>
                <w:rFonts w:eastAsia="MS Mincho" w:cs="Times New Roman"/>
                <w:color w:val="333333"/>
                <w:sz w:val="20"/>
                <w:szCs w:val="22"/>
                <w:lang w:val="en-US" w:eastAsia="en-US"/>
              </w:rPr>
              <w:t>Rural Water Supply</w:t>
            </w:r>
          </w:p>
        </w:tc>
      </w:tr>
    </w:tbl>
    <w:p w14:paraId="3064FA65" w14:textId="77777777" w:rsidR="00506FF9" w:rsidRPr="00506FF9" w:rsidRDefault="00506FF9" w:rsidP="00506FF9">
      <w:pPr>
        <w:spacing w:before="240" w:after="120" w:line="276" w:lineRule="auto"/>
        <w:rPr>
          <w:rFonts w:eastAsia="MS Mincho" w:cs="Times New Roman"/>
          <w:color w:val="333333"/>
          <w:sz w:val="22"/>
          <w:szCs w:val="22"/>
          <w:lang w:val="en-US" w:eastAsia="en-US"/>
        </w:rPr>
      </w:pPr>
    </w:p>
    <w:p w14:paraId="33B181D9" w14:textId="2CE6B43B" w:rsidR="00C53315" w:rsidRDefault="00C53315"/>
    <w:sectPr w:rsidR="00C53315">
      <w:headerReference w:type="default" r:id="rId13"/>
      <w:footerReference w:type="default" r:id="rId14"/>
      <w:pgSz w:w="12240" w:h="15840"/>
      <w:pgMar w:top="1440" w:right="1350" w:bottom="1440" w:left="13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437D8" w14:textId="77777777" w:rsidR="00206728" w:rsidRDefault="00206728">
      <w:r>
        <w:separator/>
      </w:r>
    </w:p>
  </w:endnote>
  <w:endnote w:type="continuationSeparator" w:id="0">
    <w:p w14:paraId="4DBB3EC7" w14:textId="77777777" w:rsidR="00206728" w:rsidRDefault="0020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12F4" w14:textId="77777777" w:rsidR="00EE1DDA" w:rsidRDefault="00EE1D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F5E3" w14:textId="77777777" w:rsidR="00EE1DDA" w:rsidRDefault="00EE1D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9CB6" w14:textId="77777777" w:rsidR="00EE1DDA" w:rsidRDefault="00EE1DD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8002B" w14:textId="6FE018EE" w:rsidR="00563986" w:rsidRDefault="00EC6BEE">
    <w:pPr>
      <w:pBdr>
        <w:top w:val="single" w:sz="4" w:space="4" w:color="BFBFBF"/>
      </w:pBdr>
      <w:jc w:val="center"/>
    </w:pP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C53315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C53315">
      <w:rPr>
        <w:noProof/>
        <w:color w:val="595959"/>
        <w:sz w:val="16"/>
        <w:szCs w:val="16"/>
      </w:rPr>
      <w:t>3</w:t>
    </w:r>
    <w:r>
      <w:rPr>
        <w:color w:val="595959"/>
        <w:sz w:val="16"/>
        <w:szCs w:val="16"/>
      </w:rPr>
      <w:fldChar w:fldCharType="end"/>
    </w:r>
    <w:r>
      <w:rPr>
        <w:i/>
        <w:iCs/>
        <w:color w:val="595959"/>
        <w:sz w:val="16"/>
        <w:szCs w:val="16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60D8D" w14:textId="77777777" w:rsidR="00206728" w:rsidRDefault="00206728">
      <w:r>
        <w:separator/>
      </w:r>
    </w:p>
  </w:footnote>
  <w:footnote w:type="continuationSeparator" w:id="0">
    <w:p w14:paraId="31B5CC3A" w14:textId="77777777" w:rsidR="00206728" w:rsidRDefault="0020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D90B" w14:textId="77777777" w:rsidR="00EE1DDA" w:rsidRDefault="00EE1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D227" w14:textId="77777777" w:rsidR="00EE1DDA" w:rsidRDefault="00EE1D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1C59" w14:textId="77777777" w:rsidR="00EE1DDA" w:rsidRDefault="00EE1DD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13BE7" w14:textId="77777777" w:rsidR="00563986" w:rsidRDefault="00EC6BEE">
    <w:pPr>
      <w:pBdr>
        <w:bottom w:val="single" w:sz="4" w:space="4" w:color="BFBFBF"/>
      </w:pBdr>
      <w:tabs>
        <w:tab w:val="right" w:pos="9026"/>
      </w:tabs>
    </w:pPr>
    <w:r>
      <w:rPr>
        <w:color w:val="595959"/>
        <w:sz w:val="16"/>
        <w:szCs w:val="16"/>
      </w:rPr>
      <w:t>Family Structures &amp; Parenting Support — PR Brief</w:t>
    </w:r>
    <w:r>
      <w:rPr>
        <w:color w:val="595959"/>
        <w:sz w:val="16"/>
        <w:szCs w:val="16"/>
      </w:rPr>
      <w:tab/>
      <w:t>JSLC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D580BA4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85423"/>
    <w:multiLevelType w:val="multilevel"/>
    <w:tmpl w:val="2310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D77B8"/>
    <w:multiLevelType w:val="multilevel"/>
    <w:tmpl w:val="5A82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03C8E"/>
    <w:multiLevelType w:val="multilevel"/>
    <w:tmpl w:val="B00C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3199E"/>
    <w:multiLevelType w:val="multilevel"/>
    <w:tmpl w:val="DE04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C3C8D"/>
    <w:multiLevelType w:val="multilevel"/>
    <w:tmpl w:val="354A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C7A5C"/>
    <w:multiLevelType w:val="multilevel"/>
    <w:tmpl w:val="DB18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91B3D"/>
    <w:multiLevelType w:val="multilevel"/>
    <w:tmpl w:val="6E72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4593B"/>
    <w:multiLevelType w:val="multilevel"/>
    <w:tmpl w:val="FBD8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296E9D"/>
    <w:multiLevelType w:val="multilevel"/>
    <w:tmpl w:val="8B78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75FDA"/>
    <w:multiLevelType w:val="multilevel"/>
    <w:tmpl w:val="16C0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85A16"/>
    <w:multiLevelType w:val="multilevel"/>
    <w:tmpl w:val="8A22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7B2E5D"/>
    <w:multiLevelType w:val="hybridMultilevel"/>
    <w:tmpl w:val="A16EA432"/>
    <w:lvl w:ilvl="0" w:tplc="995839AE">
      <w:start w:val="1"/>
      <w:numFmt w:val="bullet"/>
      <w:lvlText w:val="•"/>
      <w:lvlJc w:val="left"/>
      <w:pPr>
        <w:ind w:left="360" w:hanging="260"/>
      </w:pPr>
    </w:lvl>
    <w:lvl w:ilvl="1" w:tplc="3D9AA7CC">
      <w:start w:val="1"/>
      <w:numFmt w:val="bullet"/>
      <w:lvlText w:val="◦"/>
      <w:lvlJc w:val="left"/>
      <w:pPr>
        <w:ind w:left="720" w:hanging="260"/>
      </w:pPr>
    </w:lvl>
    <w:lvl w:ilvl="2" w:tplc="B7560A18">
      <w:numFmt w:val="decimal"/>
      <w:lvlText w:val=""/>
      <w:lvlJc w:val="left"/>
    </w:lvl>
    <w:lvl w:ilvl="3" w:tplc="AD064FF6">
      <w:numFmt w:val="decimal"/>
      <w:lvlText w:val=""/>
      <w:lvlJc w:val="left"/>
    </w:lvl>
    <w:lvl w:ilvl="4" w:tplc="2A6E22FA">
      <w:numFmt w:val="decimal"/>
      <w:lvlText w:val=""/>
      <w:lvlJc w:val="left"/>
    </w:lvl>
    <w:lvl w:ilvl="5" w:tplc="293EA7E4">
      <w:numFmt w:val="decimal"/>
      <w:lvlText w:val=""/>
      <w:lvlJc w:val="left"/>
    </w:lvl>
    <w:lvl w:ilvl="6" w:tplc="84BA7364">
      <w:numFmt w:val="decimal"/>
      <w:lvlText w:val=""/>
      <w:lvlJc w:val="left"/>
    </w:lvl>
    <w:lvl w:ilvl="7" w:tplc="6472F8A4">
      <w:numFmt w:val="decimal"/>
      <w:lvlText w:val=""/>
      <w:lvlJc w:val="left"/>
    </w:lvl>
    <w:lvl w:ilvl="8" w:tplc="3BC08268">
      <w:numFmt w:val="decimal"/>
      <w:lvlText w:val=""/>
      <w:lvlJc w:val="left"/>
    </w:lvl>
  </w:abstractNum>
  <w:abstractNum w:abstractNumId="13" w15:restartNumberingAfterBreak="0">
    <w:nsid w:val="5DE90DD3"/>
    <w:multiLevelType w:val="multilevel"/>
    <w:tmpl w:val="1A12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4C1F89"/>
    <w:multiLevelType w:val="multilevel"/>
    <w:tmpl w:val="1216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4814D2"/>
    <w:multiLevelType w:val="multilevel"/>
    <w:tmpl w:val="D05E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2C2471"/>
    <w:multiLevelType w:val="multilevel"/>
    <w:tmpl w:val="92DC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EF6E6F"/>
    <w:multiLevelType w:val="multilevel"/>
    <w:tmpl w:val="DA1C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EB2A14"/>
    <w:multiLevelType w:val="multilevel"/>
    <w:tmpl w:val="F456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A01AF1"/>
    <w:multiLevelType w:val="multilevel"/>
    <w:tmpl w:val="7D14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85951"/>
    <w:multiLevelType w:val="multilevel"/>
    <w:tmpl w:val="A3CE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8F45AE"/>
    <w:multiLevelType w:val="hybridMultilevel"/>
    <w:tmpl w:val="C7E8A40C"/>
    <w:lvl w:ilvl="0" w:tplc="CCDE13B2">
      <w:start w:val="1"/>
      <w:numFmt w:val="bullet"/>
      <w:lvlText w:val="●"/>
      <w:lvlJc w:val="left"/>
      <w:pPr>
        <w:ind w:left="720" w:hanging="360"/>
      </w:pPr>
    </w:lvl>
    <w:lvl w:ilvl="1" w:tplc="DAB275B8">
      <w:start w:val="1"/>
      <w:numFmt w:val="bullet"/>
      <w:lvlText w:val="○"/>
      <w:lvlJc w:val="left"/>
      <w:pPr>
        <w:ind w:left="1440" w:hanging="360"/>
      </w:pPr>
    </w:lvl>
    <w:lvl w:ilvl="2" w:tplc="A5FEAF80">
      <w:start w:val="1"/>
      <w:numFmt w:val="bullet"/>
      <w:lvlText w:val="■"/>
      <w:lvlJc w:val="left"/>
      <w:pPr>
        <w:ind w:left="2160" w:hanging="360"/>
      </w:pPr>
    </w:lvl>
    <w:lvl w:ilvl="3" w:tplc="2FE49F78">
      <w:start w:val="1"/>
      <w:numFmt w:val="bullet"/>
      <w:lvlText w:val="●"/>
      <w:lvlJc w:val="left"/>
      <w:pPr>
        <w:ind w:left="2880" w:hanging="360"/>
      </w:pPr>
    </w:lvl>
    <w:lvl w:ilvl="4" w:tplc="481827E8">
      <w:start w:val="1"/>
      <w:numFmt w:val="bullet"/>
      <w:lvlText w:val="○"/>
      <w:lvlJc w:val="left"/>
      <w:pPr>
        <w:ind w:left="3600" w:hanging="360"/>
      </w:pPr>
    </w:lvl>
    <w:lvl w:ilvl="5" w:tplc="4C66629E">
      <w:start w:val="1"/>
      <w:numFmt w:val="bullet"/>
      <w:lvlText w:val="■"/>
      <w:lvlJc w:val="left"/>
      <w:pPr>
        <w:ind w:left="4320" w:hanging="360"/>
      </w:pPr>
    </w:lvl>
    <w:lvl w:ilvl="6" w:tplc="D48A4FDA">
      <w:start w:val="1"/>
      <w:numFmt w:val="bullet"/>
      <w:lvlText w:val="●"/>
      <w:lvlJc w:val="left"/>
      <w:pPr>
        <w:ind w:left="5040" w:hanging="360"/>
      </w:pPr>
    </w:lvl>
    <w:lvl w:ilvl="7" w:tplc="B83429DE">
      <w:start w:val="1"/>
      <w:numFmt w:val="bullet"/>
      <w:lvlText w:val="●"/>
      <w:lvlJc w:val="left"/>
      <w:pPr>
        <w:ind w:left="5760" w:hanging="360"/>
      </w:pPr>
    </w:lvl>
    <w:lvl w:ilvl="8" w:tplc="7C0EC290">
      <w:start w:val="1"/>
      <w:numFmt w:val="bullet"/>
      <w:lvlText w:val="●"/>
      <w:lvlJc w:val="left"/>
      <w:pPr>
        <w:ind w:left="6480" w:hanging="360"/>
      </w:pPr>
    </w:lvl>
  </w:abstractNum>
  <w:num w:numId="1" w16cid:durableId="1095662996">
    <w:abstractNumId w:val="21"/>
    <w:lvlOverride w:ilvl="0">
      <w:startOverride w:val="1"/>
    </w:lvlOverride>
  </w:num>
  <w:num w:numId="2" w16cid:durableId="954098728">
    <w:abstractNumId w:val="12"/>
    <w:lvlOverride w:ilvl="0">
      <w:startOverride w:val="1"/>
    </w:lvlOverride>
  </w:num>
  <w:num w:numId="3" w16cid:durableId="1576935106">
    <w:abstractNumId w:val="4"/>
  </w:num>
  <w:num w:numId="4" w16cid:durableId="1332444144">
    <w:abstractNumId w:val="5"/>
  </w:num>
  <w:num w:numId="5" w16cid:durableId="19167709">
    <w:abstractNumId w:val="16"/>
  </w:num>
  <w:num w:numId="6" w16cid:durableId="280962580">
    <w:abstractNumId w:val="17"/>
  </w:num>
  <w:num w:numId="7" w16cid:durableId="2142461203">
    <w:abstractNumId w:val="1"/>
  </w:num>
  <w:num w:numId="8" w16cid:durableId="1285773274">
    <w:abstractNumId w:val="19"/>
  </w:num>
  <w:num w:numId="9" w16cid:durableId="1487818175">
    <w:abstractNumId w:val="2"/>
  </w:num>
  <w:num w:numId="10" w16cid:durableId="1795097778">
    <w:abstractNumId w:val="14"/>
  </w:num>
  <w:num w:numId="11" w16cid:durableId="1561596387">
    <w:abstractNumId w:val="11"/>
  </w:num>
  <w:num w:numId="12" w16cid:durableId="1692102439">
    <w:abstractNumId w:val="18"/>
  </w:num>
  <w:num w:numId="13" w16cid:durableId="960766471">
    <w:abstractNumId w:val="20"/>
  </w:num>
  <w:num w:numId="14" w16cid:durableId="902790256">
    <w:abstractNumId w:val="7"/>
  </w:num>
  <w:num w:numId="15" w16cid:durableId="1829444336">
    <w:abstractNumId w:val="9"/>
  </w:num>
  <w:num w:numId="16" w16cid:durableId="1265528251">
    <w:abstractNumId w:val="6"/>
  </w:num>
  <w:num w:numId="17" w16cid:durableId="1921060592">
    <w:abstractNumId w:val="15"/>
  </w:num>
  <w:num w:numId="18" w16cid:durableId="999230866">
    <w:abstractNumId w:val="8"/>
  </w:num>
  <w:num w:numId="19" w16cid:durableId="1615942551">
    <w:abstractNumId w:val="10"/>
  </w:num>
  <w:num w:numId="20" w16cid:durableId="59401493">
    <w:abstractNumId w:val="3"/>
  </w:num>
  <w:num w:numId="21" w16cid:durableId="1129205935">
    <w:abstractNumId w:val="13"/>
  </w:num>
  <w:num w:numId="22" w16cid:durableId="9706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86"/>
    <w:rsid w:val="000C1302"/>
    <w:rsid w:val="00206728"/>
    <w:rsid w:val="0034025D"/>
    <w:rsid w:val="00506FF9"/>
    <w:rsid w:val="00563986"/>
    <w:rsid w:val="00837748"/>
    <w:rsid w:val="008B5C61"/>
    <w:rsid w:val="00956224"/>
    <w:rsid w:val="00B66E34"/>
    <w:rsid w:val="00C53315"/>
    <w:rsid w:val="00E02BEB"/>
    <w:rsid w:val="00EA4927"/>
    <w:rsid w:val="00EC3FF8"/>
    <w:rsid w:val="00EC6BEE"/>
    <w:rsid w:val="00EE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1629A"/>
  <w15:docId w15:val="{9D979A97-B498-4BC8-8599-99EC28E9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222222"/>
        <w:sz w:val="21"/>
        <w:szCs w:val="21"/>
        <w:lang w:val="en-JM" w:eastAsia="en-J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492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4927"/>
    <w:rPr>
      <w:i/>
      <w:iCs/>
    </w:rPr>
  </w:style>
  <w:style w:type="paragraph" w:customStyle="1" w:styleId="ListBullet1">
    <w:name w:val="List Bullet1"/>
    <w:basedOn w:val="Normal"/>
    <w:next w:val="ListBullet"/>
    <w:uiPriority w:val="99"/>
    <w:unhideWhenUsed/>
    <w:rsid w:val="00506FF9"/>
    <w:pPr>
      <w:numPr>
        <w:numId w:val="22"/>
      </w:numPr>
      <w:tabs>
        <w:tab w:val="clear" w:pos="360"/>
      </w:tabs>
      <w:spacing w:after="120" w:line="276" w:lineRule="auto"/>
      <w:ind w:left="720"/>
      <w:contextualSpacing/>
    </w:pPr>
    <w:rPr>
      <w:rFonts w:eastAsia="MS Mincho" w:cs="Times New Roman"/>
      <w:color w:val="333333"/>
      <w:sz w:val="22"/>
      <w:szCs w:val="22"/>
      <w:lang w:val="en-US" w:eastAsia="en-US"/>
    </w:rPr>
  </w:style>
  <w:style w:type="paragraph" w:styleId="ListBullet">
    <w:name w:val="List Bullet"/>
    <w:basedOn w:val="Normal"/>
    <w:uiPriority w:val="99"/>
    <w:semiHidden/>
    <w:unhideWhenUsed/>
    <w:rsid w:val="00506FF9"/>
    <w:pPr>
      <w:tabs>
        <w:tab w:val="num" w:pos="360"/>
      </w:tabs>
      <w:ind w:left="360" w:hanging="36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1D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DDA"/>
  </w:style>
  <w:style w:type="paragraph" w:styleId="Footer">
    <w:name w:val="footer"/>
    <w:basedOn w:val="Normal"/>
    <w:link w:val="FooterChar"/>
    <w:uiPriority w:val="99"/>
    <w:unhideWhenUsed/>
    <w:rsid w:val="00EE1D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Gwyneth Davidson</cp:lastModifiedBy>
  <cp:revision>2</cp:revision>
  <cp:lastPrinted>2026-09-11T13:42:00Z</cp:lastPrinted>
  <dcterms:created xsi:type="dcterms:W3CDTF">2026-10-05T14:36:00Z</dcterms:created>
  <dcterms:modified xsi:type="dcterms:W3CDTF">2026-10-05T14:36:00Z</dcterms:modified>
</cp:coreProperties>
</file>