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bookmarkStart w:id="1" w:name="_GoBack"/>
      <w:bookmarkEnd w:id="1"/>
      <w:permStart w:id="864886129" w:edGrp="everyone"/>
      <w:permEnd w:id="864886129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CF2F6C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&lt;</w:t>
      </w:r>
      <w:r w:rsidR="00972DD9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CB080C" w:rsidRPr="00000A23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A87078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4A5035">
        <w:rPr>
          <w:rFonts w:ascii="Times New Roman" w:hAnsi="Times New Roman"/>
          <w:sz w:val="22"/>
          <w:szCs w:val="22"/>
          <w:lang w:val="en-GB"/>
        </w:rPr>
        <w:t>&gt;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2577DC" w:rsidRDefault="001B7C0C" w:rsidP="000A0514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662F3B" w:rsidRPr="00662F3B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>
        <w:rPr>
          <w:rFonts w:ascii="Times New Roman" w:hAnsi="Times New Roman"/>
          <w:sz w:val="22"/>
          <w:lang w:val="en-GB"/>
        </w:rPr>
        <w:t>:</w:t>
      </w:r>
    </w:p>
    <w:p w:rsidR="00DA3137" w:rsidRDefault="00C8134A" w:rsidP="000A0514">
      <w:pPr>
        <w:jc w:val="both"/>
        <w:rPr>
          <w:rFonts w:ascii="Times New Roman" w:hAnsi="Times New Roman"/>
          <w:sz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elegation of the European Union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his designated empowered deputy as per the applicable Commission rules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. In case of a temporary substitution of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972DD9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B7C0C">
        <w:rPr>
          <w:rFonts w:ascii="Times New Roman" w:hAnsi="Times New Roman"/>
          <w:sz w:val="22"/>
          <w:lang w:val="en-GB"/>
        </w:rPr>
        <w:t>]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 xml:space="preserve">The law applicable to this guarantee shall be that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(i)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inside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EU; OR (ii)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C12FFF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(i)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 w:rsidRPr="00F44465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EU; OR (ii) </w:t>
      </w:r>
      <w:r w:rsidR="00A87078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03" w:rsidRDefault="00682B03">
      <w:r>
        <w:separator/>
      </w:r>
    </w:p>
  </w:endnote>
  <w:endnote w:type="continuationSeparator" w:id="0">
    <w:p w:rsidR="00682B03" w:rsidRDefault="0068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855395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855395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855395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03" w:rsidRDefault="00682B03">
      <w:r>
        <w:separator/>
      </w:r>
    </w:p>
  </w:footnote>
  <w:footnote w:type="continuationSeparator" w:id="0">
    <w:p w:rsidR="00682B03" w:rsidRDefault="00682B03">
      <w:r>
        <w:continuationSeparator/>
      </w:r>
    </w:p>
  </w:footnote>
  <w:footnote w:id="1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="00FC10CD" w:rsidRPr="00DC6853">
        <w:rPr>
          <w:highlight w:val="yellow"/>
          <w:lang w:val="en-GB"/>
        </w:rPr>
        <w:t xml:space="preserve"> 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2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5395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b21a4a1d-4eb8-49d3-b465-be101281b0f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3FA4E4-6D55-4E25-949C-0E93E5D6A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Camille Wildman</cp:lastModifiedBy>
  <cp:revision>2</cp:revision>
  <cp:lastPrinted>2012-09-24T09:32:00Z</cp:lastPrinted>
  <dcterms:created xsi:type="dcterms:W3CDTF">2022-11-30T14:16:00Z</dcterms:created>
  <dcterms:modified xsi:type="dcterms:W3CDTF">2022-11-30T14:16:00Z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